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6D" w:rsidRPr="005875DA" w:rsidRDefault="00565A36" w:rsidP="005875DA">
      <w:pPr>
        <w:spacing w:after="120" w:line="240" w:lineRule="auto"/>
        <w:jc w:val="center"/>
        <w:rPr>
          <w:rFonts w:ascii="Book Antiqua" w:hAnsi="Book Antiqua"/>
          <w:sz w:val="24"/>
          <w:szCs w:val="24"/>
        </w:rPr>
      </w:pPr>
      <w:r w:rsidRPr="005875DA">
        <w:rPr>
          <w:rFonts w:ascii="Book Antiqua" w:hAnsi="Book Antiqua"/>
          <w:sz w:val="24"/>
          <w:szCs w:val="24"/>
        </w:rPr>
        <w:t>ENROLLMENT MANAGEMENT PLAN</w:t>
      </w:r>
    </w:p>
    <w:p w:rsidR="00565A36" w:rsidRPr="005875DA" w:rsidRDefault="00565A36" w:rsidP="005875DA">
      <w:pPr>
        <w:spacing w:after="120" w:line="240" w:lineRule="auto"/>
        <w:jc w:val="center"/>
        <w:rPr>
          <w:rFonts w:ascii="Book Antiqua" w:hAnsi="Book Antiqua"/>
          <w:sz w:val="24"/>
          <w:szCs w:val="24"/>
        </w:rPr>
      </w:pPr>
      <w:r w:rsidRPr="005875DA">
        <w:rPr>
          <w:rFonts w:ascii="Book Antiqua" w:hAnsi="Book Antiqua"/>
          <w:sz w:val="24"/>
          <w:szCs w:val="24"/>
        </w:rPr>
        <w:t xml:space="preserve">SUMMARY OF UPDATES </w:t>
      </w:r>
    </w:p>
    <w:p w:rsidR="00920F38" w:rsidRDefault="00565A36" w:rsidP="005875DA">
      <w:pPr>
        <w:spacing w:after="120" w:line="240" w:lineRule="auto"/>
        <w:jc w:val="center"/>
        <w:rPr>
          <w:rFonts w:ascii="Book Antiqua" w:hAnsi="Book Antiqua"/>
          <w:sz w:val="24"/>
          <w:szCs w:val="24"/>
        </w:rPr>
      </w:pPr>
      <w:r w:rsidRPr="005875DA">
        <w:rPr>
          <w:rFonts w:ascii="Book Antiqua" w:hAnsi="Book Antiqua"/>
          <w:sz w:val="24"/>
          <w:szCs w:val="24"/>
        </w:rPr>
        <w:t xml:space="preserve">2012 </w:t>
      </w:r>
      <w:r w:rsidR="00AC5884">
        <w:rPr>
          <w:rFonts w:ascii="Book Antiqua" w:hAnsi="Book Antiqua"/>
          <w:sz w:val="24"/>
          <w:szCs w:val="24"/>
        </w:rPr>
        <w:t>–</w:t>
      </w:r>
      <w:r w:rsidRPr="005875DA">
        <w:rPr>
          <w:rFonts w:ascii="Book Antiqua" w:hAnsi="Book Antiqua"/>
          <w:sz w:val="24"/>
          <w:szCs w:val="24"/>
        </w:rPr>
        <w:t xml:space="preserve"> 2013</w:t>
      </w:r>
    </w:p>
    <w:p w:rsidR="00AC5884" w:rsidRDefault="00AC5884" w:rsidP="005875DA">
      <w:pPr>
        <w:spacing w:after="120" w:line="240" w:lineRule="auto"/>
        <w:jc w:val="center"/>
        <w:rPr>
          <w:rFonts w:ascii="Book Antiqua" w:hAnsi="Book Antiqua"/>
          <w:sz w:val="24"/>
          <w:szCs w:val="24"/>
        </w:rPr>
      </w:pPr>
    </w:p>
    <w:p w:rsidR="00AC5884" w:rsidRPr="005875DA" w:rsidRDefault="00AC5884" w:rsidP="005875DA">
      <w:pPr>
        <w:spacing w:after="120" w:line="240" w:lineRule="auto"/>
        <w:jc w:val="center"/>
        <w:rPr>
          <w:rFonts w:ascii="Book Antiqua" w:hAnsi="Book Antiqua"/>
          <w:sz w:val="24"/>
          <w:szCs w:val="24"/>
        </w:rPr>
      </w:pPr>
    </w:p>
    <w:p w:rsidR="00920F38" w:rsidRPr="005875DA" w:rsidRDefault="00920F38" w:rsidP="005875DA">
      <w:pPr>
        <w:pStyle w:val="Heading1"/>
        <w:spacing w:before="0" w:after="120" w:line="240" w:lineRule="auto"/>
        <w:rPr>
          <w:rFonts w:ascii="Book Antiqua" w:hAnsi="Book Antiqua"/>
          <w:sz w:val="24"/>
          <w:szCs w:val="24"/>
        </w:rPr>
      </w:pPr>
      <w:bookmarkStart w:id="0" w:name="_Toc315336441"/>
      <w:r w:rsidRPr="005875DA">
        <w:rPr>
          <w:rFonts w:ascii="Book Antiqua" w:hAnsi="Book Antiqua"/>
          <w:sz w:val="24"/>
          <w:szCs w:val="24"/>
        </w:rPr>
        <w:t>V.</w:t>
      </w:r>
      <w:r w:rsidRPr="005875DA">
        <w:rPr>
          <w:rFonts w:ascii="Book Antiqua" w:hAnsi="Book Antiqua"/>
          <w:sz w:val="24"/>
          <w:szCs w:val="24"/>
        </w:rPr>
        <w:tab/>
        <w:t>RETENTION AND GRADUATION FOR ALL STUDENT CATEGORIES</w:t>
      </w:r>
      <w:bookmarkEnd w:id="0"/>
    </w:p>
    <w:p w:rsidR="00920F38" w:rsidRPr="005875DA" w:rsidRDefault="00920F38" w:rsidP="005875DA">
      <w:pPr>
        <w:spacing w:after="120" w:line="240" w:lineRule="auto"/>
        <w:rPr>
          <w:rFonts w:ascii="Book Antiqua" w:hAnsi="Book Antiqua"/>
          <w:sz w:val="24"/>
          <w:szCs w:val="24"/>
        </w:rPr>
      </w:pPr>
    </w:p>
    <w:p w:rsidR="00337C1D" w:rsidRPr="005875DA" w:rsidRDefault="00503577" w:rsidP="005875DA">
      <w:pPr>
        <w:spacing w:after="120" w:line="240" w:lineRule="auto"/>
        <w:ind w:left="360"/>
        <w:rPr>
          <w:rFonts w:ascii="Book Antiqua" w:hAnsi="Book Antiqua"/>
          <w:sz w:val="24"/>
          <w:szCs w:val="24"/>
        </w:rPr>
      </w:pPr>
      <w:r w:rsidRPr="005875DA">
        <w:rPr>
          <w:rFonts w:ascii="Book Antiqua" w:hAnsi="Book Antiqua"/>
          <w:sz w:val="24"/>
          <w:szCs w:val="24"/>
        </w:rPr>
        <w:t>Section wide</w:t>
      </w:r>
    </w:p>
    <w:p w:rsidR="00920F38" w:rsidRPr="005875DA" w:rsidRDefault="00337C1D" w:rsidP="005875DA">
      <w:pPr>
        <w:spacing w:after="120" w:line="240" w:lineRule="auto"/>
        <w:ind w:left="1080"/>
        <w:rPr>
          <w:rFonts w:ascii="Book Antiqua" w:hAnsi="Book Antiqua"/>
          <w:sz w:val="24"/>
          <w:szCs w:val="24"/>
        </w:rPr>
      </w:pPr>
      <w:r w:rsidRPr="005875DA">
        <w:rPr>
          <w:rFonts w:ascii="Book Antiqua" w:hAnsi="Book Antiqua"/>
          <w:sz w:val="24"/>
          <w:szCs w:val="24"/>
        </w:rPr>
        <w:t>Minor edits</w:t>
      </w:r>
      <w:r w:rsidR="00920F38" w:rsidRPr="005875DA">
        <w:rPr>
          <w:rFonts w:ascii="Book Antiqua" w:hAnsi="Book Antiqua"/>
          <w:sz w:val="24"/>
          <w:szCs w:val="24"/>
        </w:rPr>
        <w:t xml:space="preserve"> indicat</w:t>
      </w:r>
      <w:r w:rsidR="005C0A1F" w:rsidRPr="005875DA">
        <w:rPr>
          <w:rFonts w:ascii="Book Antiqua" w:hAnsi="Book Antiqua"/>
          <w:sz w:val="24"/>
          <w:szCs w:val="24"/>
        </w:rPr>
        <w:t>e where</w:t>
      </w:r>
      <w:r w:rsidR="00920F38" w:rsidRPr="005875DA">
        <w:rPr>
          <w:rFonts w:ascii="Book Antiqua" w:hAnsi="Book Antiqua"/>
          <w:sz w:val="24"/>
          <w:szCs w:val="24"/>
        </w:rPr>
        <w:t xml:space="preserve"> planned actions have actually been initiated and will continue.</w:t>
      </w:r>
    </w:p>
    <w:p w:rsidR="005C0A1F" w:rsidRPr="005875DA" w:rsidRDefault="005C0A1F" w:rsidP="005875DA">
      <w:pPr>
        <w:spacing w:after="120" w:line="240" w:lineRule="auto"/>
        <w:ind w:left="1080"/>
        <w:rPr>
          <w:rFonts w:ascii="Book Antiqua" w:hAnsi="Book Antiqua"/>
          <w:sz w:val="24"/>
          <w:szCs w:val="24"/>
        </w:rPr>
      </w:pPr>
      <w:r w:rsidRPr="005875DA">
        <w:rPr>
          <w:rFonts w:ascii="Book Antiqua" w:hAnsi="Book Antiqua"/>
          <w:sz w:val="24"/>
          <w:szCs w:val="24"/>
        </w:rPr>
        <w:t>Reorganization of some specific items that align better with a different strategy than with the one</w:t>
      </w:r>
      <w:r w:rsidR="00AC77AE" w:rsidRPr="005875DA">
        <w:rPr>
          <w:rFonts w:ascii="Book Antiqua" w:hAnsi="Book Antiqua"/>
          <w:sz w:val="24"/>
          <w:szCs w:val="24"/>
        </w:rPr>
        <w:t>s</w:t>
      </w:r>
      <w:r w:rsidRPr="005875DA">
        <w:rPr>
          <w:rFonts w:ascii="Book Antiqua" w:hAnsi="Book Antiqua"/>
          <w:sz w:val="24"/>
          <w:szCs w:val="24"/>
        </w:rPr>
        <w:t xml:space="preserve"> under which th</w:t>
      </w:r>
      <w:r w:rsidR="00AC77AE" w:rsidRPr="005875DA">
        <w:rPr>
          <w:rFonts w:ascii="Book Antiqua" w:hAnsi="Book Antiqua"/>
          <w:sz w:val="24"/>
          <w:szCs w:val="24"/>
        </w:rPr>
        <w:t>ey were initially placed. For example, “Study why students leave and why students stay, initially listed under Strategy 3 (“Establish, implement and evaluate effective intervention strategies to determine and serve at-risk students”) has been moved to Strategy 1</w:t>
      </w:r>
      <w:r w:rsidR="00317E95" w:rsidRPr="005875DA">
        <w:rPr>
          <w:rFonts w:ascii="Book Antiqua" w:hAnsi="Book Antiqua"/>
          <w:sz w:val="24"/>
          <w:szCs w:val="24"/>
        </w:rPr>
        <w:t xml:space="preserve"> (“Continue research focused on creating greater understanding of factors affecting student success and completion”).</w:t>
      </w:r>
      <w:r w:rsidR="00AC77AE" w:rsidRPr="005875DA">
        <w:rPr>
          <w:rFonts w:ascii="Book Antiqua" w:hAnsi="Book Antiqua"/>
          <w:sz w:val="24"/>
          <w:szCs w:val="24"/>
        </w:rPr>
        <w:t xml:space="preserve"> </w:t>
      </w:r>
    </w:p>
    <w:p w:rsidR="00337C1D" w:rsidRPr="005875DA" w:rsidRDefault="00337C1D" w:rsidP="005875DA">
      <w:pPr>
        <w:spacing w:after="120" w:line="240" w:lineRule="auto"/>
        <w:ind w:left="360"/>
        <w:rPr>
          <w:rFonts w:ascii="Book Antiqua" w:hAnsi="Book Antiqua"/>
          <w:sz w:val="24"/>
          <w:szCs w:val="24"/>
        </w:rPr>
      </w:pPr>
      <w:r w:rsidRPr="005875DA">
        <w:rPr>
          <w:rFonts w:ascii="Book Antiqua" w:hAnsi="Book Antiqua"/>
          <w:sz w:val="24"/>
          <w:szCs w:val="24"/>
        </w:rPr>
        <w:t>Strategy 1</w:t>
      </w:r>
      <w:r w:rsidR="00503577" w:rsidRPr="005875DA">
        <w:rPr>
          <w:rFonts w:ascii="Book Antiqua" w:hAnsi="Book Antiqua"/>
          <w:sz w:val="24"/>
          <w:szCs w:val="24"/>
        </w:rPr>
        <w:t>:</w:t>
      </w:r>
      <w:r w:rsidRPr="005875DA">
        <w:rPr>
          <w:rFonts w:ascii="Book Antiqua" w:hAnsi="Book Antiqua"/>
          <w:sz w:val="24"/>
          <w:szCs w:val="24"/>
        </w:rPr>
        <w:t xml:space="preserve"> “Continue research focused on creating greater understanding of factors affecting student success and completion”</w:t>
      </w:r>
    </w:p>
    <w:p w:rsidR="00337C1D" w:rsidRPr="005875DA" w:rsidRDefault="0065389E" w:rsidP="005875DA">
      <w:pPr>
        <w:spacing w:after="120" w:line="240" w:lineRule="auto"/>
        <w:ind w:left="1080"/>
        <w:rPr>
          <w:rFonts w:ascii="Book Antiqua" w:hAnsi="Book Antiqua"/>
          <w:sz w:val="24"/>
          <w:szCs w:val="24"/>
        </w:rPr>
      </w:pPr>
      <w:r w:rsidRPr="005875DA">
        <w:rPr>
          <w:rFonts w:ascii="Book Antiqua" w:hAnsi="Book Antiqua"/>
          <w:sz w:val="24"/>
          <w:szCs w:val="24"/>
        </w:rPr>
        <w:t>Added</w:t>
      </w:r>
      <w:r w:rsidR="00337C1D" w:rsidRPr="005875DA">
        <w:rPr>
          <w:rFonts w:ascii="Book Antiqua" w:hAnsi="Book Antiqua"/>
          <w:sz w:val="24"/>
          <w:szCs w:val="24"/>
        </w:rPr>
        <w:t xml:space="preserve"> specific areas to research </w:t>
      </w:r>
    </w:p>
    <w:p w:rsidR="00337C1D" w:rsidRPr="005875DA" w:rsidRDefault="00337C1D" w:rsidP="005875DA">
      <w:pPr>
        <w:spacing w:after="120" w:line="240" w:lineRule="auto"/>
        <w:ind w:left="360"/>
        <w:rPr>
          <w:rFonts w:ascii="Book Antiqua" w:hAnsi="Book Antiqua"/>
          <w:sz w:val="24"/>
          <w:szCs w:val="24"/>
        </w:rPr>
      </w:pPr>
      <w:r w:rsidRPr="005875DA">
        <w:rPr>
          <w:rFonts w:ascii="Book Antiqua" w:hAnsi="Book Antiqua"/>
          <w:sz w:val="24"/>
          <w:szCs w:val="24"/>
        </w:rPr>
        <w:t>Strategy 2</w:t>
      </w:r>
      <w:r w:rsidR="00503577" w:rsidRPr="005875DA">
        <w:rPr>
          <w:rFonts w:ascii="Book Antiqua" w:hAnsi="Book Antiqua"/>
          <w:sz w:val="24"/>
          <w:szCs w:val="24"/>
        </w:rPr>
        <w:t>:</w:t>
      </w:r>
      <w:r w:rsidRPr="005875DA">
        <w:rPr>
          <w:rFonts w:ascii="Book Antiqua" w:hAnsi="Book Antiqua"/>
          <w:sz w:val="24"/>
          <w:szCs w:val="24"/>
        </w:rPr>
        <w:t xml:space="preserve"> “Reinstate First Year Experience seminars for all first-time students”</w:t>
      </w:r>
    </w:p>
    <w:p w:rsidR="00337C1D" w:rsidRPr="005875DA" w:rsidRDefault="00A74D1B" w:rsidP="005875DA">
      <w:pPr>
        <w:spacing w:after="120" w:line="240" w:lineRule="auto"/>
        <w:ind w:left="1080"/>
        <w:rPr>
          <w:rFonts w:ascii="Book Antiqua" w:hAnsi="Book Antiqua"/>
          <w:sz w:val="24"/>
          <w:szCs w:val="24"/>
        </w:rPr>
      </w:pPr>
      <w:proofErr w:type="gramStart"/>
      <w:r w:rsidRPr="005875DA">
        <w:rPr>
          <w:rFonts w:ascii="Book Antiqua" w:hAnsi="Book Antiqua"/>
          <w:sz w:val="24"/>
          <w:szCs w:val="24"/>
        </w:rPr>
        <w:t>Revised</w:t>
      </w:r>
      <w:r w:rsidR="00337C1D" w:rsidRPr="005875DA">
        <w:rPr>
          <w:rFonts w:ascii="Book Antiqua" w:hAnsi="Book Antiqua"/>
          <w:sz w:val="24"/>
          <w:szCs w:val="24"/>
        </w:rPr>
        <w:t xml:space="preserve"> to reflect </w:t>
      </w:r>
      <w:r w:rsidRPr="005875DA">
        <w:rPr>
          <w:rFonts w:ascii="Book Antiqua" w:hAnsi="Book Antiqua"/>
          <w:sz w:val="24"/>
          <w:szCs w:val="24"/>
        </w:rPr>
        <w:t>the effectiveness</w:t>
      </w:r>
      <w:r w:rsidR="00337C1D" w:rsidRPr="005875DA">
        <w:rPr>
          <w:rFonts w:ascii="Book Antiqua" w:hAnsi="Book Antiqua"/>
          <w:sz w:val="24"/>
          <w:szCs w:val="24"/>
        </w:rPr>
        <w:t xml:space="preserve"> of pilot projects and the subsequent formation of a task force to develop a proposal for a mandatory first-year seminar that satisfies GE Area E.</w:t>
      </w:r>
      <w:proofErr w:type="gramEnd"/>
    </w:p>
    <w:p w:rsidR="00A74D1B" w:rsidRPr="005875DA" w:rsidRDefault="00A74D1B" w:rsidP="005875DA">
      <w:pPr>
        <w:spacing w:after="120" w:line="240" w:lineRule="auto"/>
        <w:ind w:left="360"/>
        <w:rPr>
          <w:rFonts w:ascii="Book Antiqua" w:hAnsi="Book Antiqua"/>
          <w:sz w:val="24"/>
          <w:szCs w:val="24"/>
        </w:rPr>
      </w:pPr>
      <w:r w:rsidRPr="005875DA">
        <w:rPr>
          <w:rFonts w:ascii="Book Antiqua" w:hAnsi="Book Antiqua"/>
          <w:sz w:val="24"/>
          <w:szCs w:val="24"/>
        </w:rPr>
        <w:t>Strategy 3</w:t>
      </w:r>
      <w:r w:rsidR="00503577" w:rsidRPr="005875DA">
        <w:rPr>
          <w:rFonts w:ascii="Book Antiqua" w:hAnsi="Book Antiqua"/>
          <w:sz w:val="24"/>
          <w:szCs w:val="24"/>
        </w:rPr>
        <w:t>:</w:t>
      </w:r>
      <w:r w:rsidRPr="005875DA">
        <w:rPr>
          <w:rFonts w:ascii="Book Antiqua" w:hAnsi="Book Antiqua"/>
          <w:sz w:val="24"/>
          <w:szCs w:val="24"/>
        </w:rPr>
        <w:t xml:space="preserve"> “Establish, implement and evaluate effective intervention strategies to determine and serve at-risk students”</w:t>
      </w:r>
    </w:p>
    <w:p w:rsidR="00A74D1B" w:rsidRPr="005875DA" w:rsidRDefault="00A74D1B" w:rsidP="005875DA">
      <w:pPr>
        <w:spacing w:after="120" w:line="240" w:lineRule="auto"/>
        <w:ind w:left="1080"/>
        <w:rPr>
          <w:rFonts w:ascii="Book Antiqua" w:hAnsi="Book Antiqua"/>
          <w:sz w:val="24"/>
          <w:szCs w:val="24"/>
        </w:rPr>
      </w:pPr>
      <w:proofErr w:type="gramStart"/>
      <w:r w:rsidRPr="005875DA">
        <w:rPr>
          <w:rFonts w:ascii="Book Antiqua" w:hAnsi="Book Antiqua"/>
          <w:sz w:val="24"/>
          <w:szCs w:val="24"/>
        </w:rPr>
        <w:t>Revised to move away from generic actions and toward interventions informed by the Early Alert system, acquisition of which is planned for this academic year.</w:t>
      </w:r>
      <w:proofErr w:type="gramEnd"/>
    </w:p>
    <w:p w:rsidR="00A74D1B" w:rsidRPr="005875DA" w:rsidRDefault="00A74D1B" w:rsidP="005875DA">
      <w:pPr>
        <w:spacing w:after="120" w:line="240" w:lineRule="auto"/>
        <w:ind w:left="360"/>
        <w:rPr>
          <w:rFonts w:ascii="Book Antiqua" w:hAnsi="Book Antiqua"/>
          <w:sz w:val="24"/>
          <w:szCs w:val="24"/>
        </w:rPr>
      </w:pPr>
      <w:r w:rsidRPr="005875DA">
        <w:rPr>
          <w:rFonts w:ascii="Book Antiqua" w:hAnsi="Book Antiqua"/>
          <w:sz w:val="24"/>
          <w:szCs w:val="24"/>
        </w:rPr>
        <w:t>Strategy 4</w:t>
      </w:r>
      <w:r w:rsidR="00503577" w:rsidRPr="005875DA">
        <w:rPr>
          <w:rFonts w:ascii="Book Antiqua" w:hAnsi="Book Antiqua"/>
          <w:sz w:val="24"/>
          <w:szCs w:val="24"/>
        </w:rPr>
        <w:t>:</w:t>
      </w:r>
      <w:r w:rsidR="00344756" w:rsidRPr="005875DA">
        <w:rPr>
          <w:rFonts w:ascii="Book Antiqua" w:hAnsi="Book Antiqua"/>
          <w:sz w:val="24"/>
          <w:szCs w:val="24"/>
        </w:rPr>
        <w:t xml:space="preserve"> </w:t>
      </w:r>
      <w:r w:rsidRPr="005875DA">
        <w:rPr>
          <w:rFonts w:ascii="Book Antiqua" w:hAnsi="Book Antiqua"/>
          <w:sz w:val="24"/>
          <w:szCs w:val="24"/>
        </w:rPr>
        <w:t xml:space="preserve"> “Enhance university-wide academic advising, career advising and academic support efforts”</w:t>
      </w:r>
    </w:p>
    <w:p w:rsidR="00337C1D" w:rsidRPr="005875DA" w:rsidRDefault="0065389E" w:rsidP="005875DA">
      <w:pPr>
        <w:spacing w:after="120" w:line="240" w:lineRule="auto"/>
        <w:ind w:left="1080"/>
        <w:rPr>
          <w:rFonts w:ascii="Book Antiqua" w:hAnsi="Book Antiqua"/>
          <w:sz w:val="24"/>
          <w:szCs w:val="24"/>
        </w:rPr>
      </w:pPr>
      <w:r w:rsidRPr="005875DA">
        <w:rPr>
          <w:rFonts w:ascii="Book Antiqua" w:hAnsi="Book Antiqua"/>
          <w:sz w:val="24"/>
          <w:szCs w:val="24"/>
        </w:rPr>
        <w:t>Combined s</w:t>
      </w:r>
      <w:r w:rsidR="00337C1D" w:rsidRPr="005875DA">
        <w:rPr>
          <w:rFonts w:ascii="Book Antiqua" w:hAnsi="Book Antiqua"/>
          <w:sz w:val="24"/>
          <w:szCs w:val="24"/>
        </w:rPr>
        <w:t xml:space="preserve">everal specific actions related to </w:t>
      </w:r>
      <w:r w:rsidR="00344756" w:rsidRPr="005875DA">
        <w:rPr>
          <w:rFonts w:ascii="Book Antiqua" w:hAnsi="Book Antiqua"/>
          <w:sz w:val="24"/>
          <w:szCs w:val="24"/>
        </w:rPr>
        <w:t xml:space="preserve">academic and career </w:t>
      </w:r>
      <w:r w:rsidR="00337C1D" w:rsidRPr="005875DA">
        <w:rPr>
          <w:rFonts w:ascii="Book Antiqua" w:hAnsi="Book Antiqua"/>
          <w:sz w:val="24"/>
          <w:szCs w:val="24"/>
        </w:rPr>
        <w:t xml:space="preserve">advising into a </w:t>
      </w:r>
      <w:r w:rsidR="00344756" w:rsidRPr="005875DA">
        <w:rPr>
          <w:rFonts w:ascii="Book Antiqua" w:hAnsi="Book Antiqua"/>
          <w:sz w:val="24"/>
          <w:szCs w:val="24"/>
        </w:rPr>
        <w:t>broader action focused on developing a</w:t>
      </w:r>
      <w:r w:rsidR="00337C1D" w:rsidRPr="005875DA">
        <w:rPr>
          <w:rFonts w:ascii="Book Antiqua" w:hAnsi="Book Antiqua"/>
          <w:sz w:val="24"/>
          <w:szCs w:val="24"/>
        </w:rPr>
        <w:t xml:space="preserve"> comprehensive plan for academic advising by the end of this academic year.</w:t>
      </w:r>
    </w:p>
    <w:p w:rsidR="00344756" w:rsidRPr="005875DA" w:rsidRDefault="00337C1D" w:rsidP="005875DA">
      <w:pPr>
        <w:spacing w:after="120" w:line="240" w:lineRule="auto"/>
        <w:ind w:left="360"/>
        <w:rPr>
          <w:rFonts w:ascii="Book Antiqua" w:hAnsi="Book Antiqua"/>
          <w:sz w:val="24"/>
          <w:szCs w:val="24"/>
        </w:rPr>
      </w:pPr>
      <w:r w:rsidRPr="005875DA">
        <w:rPr>
          <w:rFonts w:ascii="Book Antiqua" w:hAnsi="Book Antiqua"/>
          <w:sz w:val="24"/>
          <w:szCs w:val="24"/>
        </w:rPr>
        <w:t>Strategies</w:t>
      </w:r>
      <w:r w:rsidR="00344756" w:rsidRPr="005875DA">
        <w:rPr>
          <w:rFonts w:ascii="Book Antiqua" w:hAnsi="Book Antiqua"/>
          <w:sz w:val="24"/>
          <w:szCs w:val="24"/>
        </w:rPr>
        <w:t xml:space="preserve"> 4 &amp; 5</w:t>
      </w:r>
      <w:r w:rsidR="00503577" w:rsidRPr="005875DA">
        <w:rPr>
          <w:rFonts w:ascii="Book Antiqua" w:hAnsi="Book Antiqua"/>
          <w:sz w:val="24"/>
          <w:szCs w:val="24"/>
        </w:rPr>
        <w:t>:</w:t>
      </w:r>
    </w:p>
    <w:p w:rsidR="00337C1D" w:rsidRPr="005875DA" w:rsidRDefault="00344756" w:rsidP="005875DA">
      <w:pPr>
        <w:spacing w:after="120" w:line="240" w:lineRule="auto"/>
        <w:ind w:left="1080"/>
        <w:rPr>
          <w:rFonts w:ascii="Book Antiqua" w:hAnsi="Book Antiqua"/>
          <w:sz w:val="24"/>
          <w:szCs w:val="24"/>
        </w:rPr>
      </w:pPr>
      <w:r w:rsidRPr="005875DA">
        <w:rPr>
          <w:rFonts w:ascii="Book Antiqua" w:hAnsi="Book Antiqua"/>
          <w:sz w:val="24"/>
          <w:szCs w:val="24"/>
        </w:rPr>
        <w:t>In response to continued</w:t>
      </w:r>
      <w:r w:rsidR="00337C1D" w:rsidRPr="005875DA">
        <w:rPr>
          <w:rFonts w:ascii="Book Antiqua" w:hAnsi="Book Antiqua"/>
          <w:sz w:val="24"/>
          <w:szCs w:val="24"/>
        </w:rPr>
        <w:t xml:space="preserve"> limitations on the number of credits that a student can carry each semester, actions to review and eliminate credit for </w:t>
      </w:r>
      <w:r w:rsidR="00337C1D" w:rsidRPr="005875DA">
        <w:rPr>
          <w:rFonts w:ascii="Book Antiqua" w:hAnsi="Book Antiqua"/>
          <w:sz w:val="24"/>
          <w:szCs w:val="24"/>
        </w:rPr>
        <w:lastRenderedPageBreak/>
        <w:t>supplemental and co-curricular activities have been added to both Strategy 4 (“Enhance university-wide academic advising, career advising and academic support efforts”) and Strategy 5 (“Increase attention to student involvement initiatives”).</w:t>
      </w:r>
    </w:p>
    <w:p w:rsidR="00344756" w:rsidRPr="005875DA" w:rsidRDefault="00344756" w:rsidP="005875DA">
      <w:pPr>
        <w:spacing w:after="120" w:line="240" w:lineRule="auto"/>
        <w:ind w:left="360"/>
        <w:rPr>
          <w:rFonts w:ascii="Book Antiqua" w:hAnsi="Book Antiqua"/>
          <w:sz w:val="24"/>
          <w:szCs w:val="24"/>
        </w:rPr>
      </w:pPr>
      <w:r w:rsidRPr="005875DA">
        <w:rPr>
          <w:rFonts w:ascii="Book Antiqua" w:hAnsi="Book Antiqua"/>
          <w:sz w:val="24"/>
          <w:szCs w:val="24"/>
        </w:rPr>
        <w:t>Strategy 5</w:t>
      </w:r>
      <w:r w:rsidR="00503577" w:rsidRPr="005875DA">
        <w:rPr>
          <w:rFonts w:ascii="Book Antiqua" w:hAnsi="Book Antiqua"/>
          <w:sz w:val="24"/>
          <w:szCs w:val="24"/>
        </w:rPr>
        <w:t>:</w:t>
      </w:r>
      <w:r w:rsidRPr="005875DA">
        <w:rPr>
          <w:rFonts w:ascii="Book Antiqua" w:hAnsi="Book Antiqua"/>
          <w:sz w:val="24"/>
          <w:szCs w:val="24"/>
        </w:rPr>
        <w:t xml:space="preserve"> “Increase attention to student involvement initiatives”</w:t>
      </w:r>
    </w:p>
    <w:p w:rsidR="00344756" w:rsidRPr="005875DA" w:rsidRDefault="00BB2AA8" w:rsidP="005875DA">
      <w:pPr>
        <w:spacing w:after="120" w:line="240" w:lineRule="auto"/>
        <w:ind w:left="1080"/>
        <w:rPr>
          <w:rFonts w:ascii="Book Antiqua" w:hAnsi="Book Antiqua"/>
          <w:sz w:val="24"/>
          <w:szCs w:val="24"/>
        </w:rPr>
      </w:pPr>
      <w:r w:rsidRPr="005875DA">
        <w:rPr>
          <w:rFonts w:ascii="Book Antiqua" w:hAnsi="Book Antiqua"/>
          <w:sz w:val="24"/>
          <w:szCs w:val="24"/>
        </w:rPr>
        <w:t>Added</w:t>
      </w:r>
      <w:r w:rsidR="00344756" w:rsidRPr="005875DA">
        <w:rPr>
          <w:rFonts w:ascii="Book Antiqua" w:hAnsi="Book Antiqua"/>
          <w:sz w:val="24"/>
          <w:szCs w:val="24"/>
        </w:rPr>
        <w:t xml:space="preserve"> </w:t>
      </w:r>
      <w:r w:rsidRPr="005875DA">
        <w:rPr>
          <w:rFonts w:ascii="Book Antiqua" w:hAnsi="Book Antiqua"/>
          <w:sz w:val="24"/>
          <w:szCs w:val="24"/>
        </w:rPr>
        <w:t xml:space="preserve">actions </w:t>
      </w:r>
      <w:r w:rsidR="00344756" w:rsidRPr="005875DA">
        <w:rPr>
          <w:rFonts w:ascii="Book Antiqua" w:hAnsi="Book Antiqua"/>
          <w:sz w:val="24"/>
          <w:szCs w:val="24"/>
        </w:rPr>
        <w:t>related to evaluating and coordinating student involvement activities.</w:t>
      </w:r>
    </w:p>
    <w:p w:rsidR="00337C1D" w:rsidRPr="005875DA" w:rsidRDefault="00344756" w:rsidP="005875DA">
      <w:pPr>
        <w:spacing w:after="120" w:line="240" w:lineRule="auto"/>
        <w:ind w:left="360"/>
        <w:rPr>
          <w:rFonts w:ascii="Book Antiqua" w:hAnsi="Book Antiqua"/>
          <w:sz w:val="24"/>
          <w:szCs w:val="24"/>
        </w:rPr>
      </w:pPr>
      <w:r w:rsidRPr="005875DA">
        <w:rPr>
          <w:rFonts w:ascii="Book Antiqua" w:hAnsi="Book Antiqua"/>
          <w:sz w:val="24"/>
          <w:szCs w:val="24"/>
        </w:rPr>
        <w:t>Strategy 6</w:t>
      </w:r>
      <w:r w:rsidR="00503577" w:rsidRPr="005875DA">
        <w:rPr>
          <w:rFonts w:ascii="Book Antiqua" w:hAnsi="Book Antiqua"/>
          <w:sz w:val="24"/>
          <w:szCs w:val="24"/>
        </w:rPr>
        <w:t>:</w:t>
      </w:r>
      <w:r w:rsidRPr="005875DA">
        <w:rPr>
          <w:rFonts w:ascii="Book Antiqua" w:hAnsi="Book Antiqua"/>
          <w:sz w:val="24"/>
          <w:szCs w:val="24"/>
        </w:rPr>
        <w:t xml:space="preserve"> “Enhance ‘customer services’ throughout the university”</w:t>
      </w:r>
    </w:p>
    <w:p w:rsidR="00344756" w:rsidRPr="005875DA" w:rsidRDefault="00BB2AA8" w:rsidP="005875DA">
      <w:pPr>
        <w:spacing w:after="120" w:line="240" w:lineRule="auto"/>
        <w:ind w:left="1080"/>
        <w:rPr>
          <w:rFonts w:ascii="Book Antiqua" w:hAnsi="Book Antiqua"/>
          <w:sz w:val="24"/>
          <w:szCs w:val="24"/>
        </w:rPr>
      </w:pPr>
      <w:r w:rsidRPr="005875DA">
        <w:rPr>
          <w:rFonts w:ascii="Book Antiqua" w:hAnsi="Book Antiqua"/>
          <w:sz w:val="24"/>
          <w:szCs w:val="24"/>
        </w:rPr>
        <w:t>Added action related to evaluating customer service practices</w:t>
      </w:r>
    </w:p>
    <w:p w:rsidR="00BB2AA8" w:rsidRPr="005875DA" w:rsidRDefault="00BB2AA8" w:rsidP="005875DA">
      <w:pPr>
        <w:spacing w:after="120" w:line="240" w:lineRule="auto"/>
        <w:ind w:left="360"/>
        <w:rPr>
          <w:rFonts w:ascii="Book Antiqua" w:hAnsi="Book Antiqua"/>
          <w:sz w:val="24"/>
          <w:szCs w:val="24"/>
        </w:rPr>
      </w:pPr>
      <w:r w:rsidRPr="005875DA">
        <w:rPr>
          <w:rFonts w:ascii="Book Antiqua" w:hAnsi="Book Antiqua"/>
          <w:sz w:val="24"/>
          <w:szCs w:val="24"/>
        </w:rPr>
        <w:t>Strategy 7</w:t>
      </w:r>
      <w:r w:rsidR="00503577" w:rsidRPr="005875DA">
        <w:rPr>
          <w:rFonts w:ascii="Book Antiqua" w:hAnsi="Book Antiqua"/>
          <w:sz w:val="24"/>
          <w:szCs w:val="24"/>
        </w:rPr>
        <w:t>:</w:t>
      </w:r>
      <w:r w:rsidRPr="005875DA">
        <w:rPr>
          <w:rFonts w:ascii="Book Antiqua" w:hAnsi="Book Antiqua"/>
          <w:sz w:val="24"/>
          <w:szCs w:val="24"/>
        </w:rPr>
        <w:t xml:space="preserve"> “Develop and implement a plan utilizing strategies 1-6 to eliminate the achievement gap for underrepresented minority students (URM)”</w:t>
      </w:r>
    </w:p>
    <w:p w:rsidR="002563B7" w:rsidRPr="005875DA" w:rsidRDefault="002563B7" w:rsidP="005875DA">
      <w:pPr>
        <w:tabs>
          <w:tab w:val="left" w:pos="270"/>
        </w:tabs>
        <w:spacing w:after="120" w:line="240" w:lineRule="auto"/>
        <w:ind w:left="1080"/>
        <w:rPr>
          <w:rFonts w:ascii="Book Antiqua" w:hAnsi="Book Antiqua"/>
          <w:sz w:val="24"/>
          <w:szCs w:val="24"/>
        </w:rPr>
      </w:pPr>
      <w:r w:rsidRPr="005875DA">
        <w:rPr>
          <w:rFonts w:ascii="Book Antiqua" w:hAnsi="Book Antiqua"/>
          <w:sz w:val="24"/>
          <w:szCs w:val="24"/>
        </w:rPr>
        <w:t xml:space="preserve">Revised to reflect the establishment of </w:t>
      </w:r>
      <w:proofErr w:type="spellStart"/>
      <w:r w:rsidRPr="005875DA">
        <w:rPr>
          <w:rFonts w:ascii="Book Antiqua" w:hAnsi="Book Antiqua"/>
          <w:sz w:val="24"/>
          <w:szCs w:val="24"/>
        </w:rPr>
        <w:t>DISSCo</w:t>
      </w:r>
      <w:proofErr w:type="spellEnd"/>
      <w:r w:rsidRPr="005875DA">
        <w:rPr>
          <w:rFonts w:ascii="Book Antiqua" w:hAnsi="Book Antiqua"/>
          <w:sz w:val="24"/>
          <w:szCs w:val="24"/>
        </w:rPr>
        <w:t xml:space="preserve"> (the Diversity and Inclusive Student Success Collaborative)</w:t>
      </w:r>
    </w:p>
    <w:p w:rsidR="00BB2AA8" w:rsidRPr="005875DA" w:rsidRDefault="002563B7" w:rsidP="005875DA">
      <w:pPr>
        <w:tabs>
          <w:tab w:val="left" w:pos="270"/>
        </w:tabs>
        <w:spacing w:after="120" w:line="240" w:lineRule="auto"/>
        <w:ind w:left="1080"/>
        <w:rPr>
          <w:rFonts w:ascii="Book Antiqua" w:hAnsi="Book Antiqua"/>
          <w:sz w:val="24"/>
          <w:szCs w:val="24"/>
        </w:rPr>
      </w:pPr>
      <w:r w:rsidRPr="005875DA">
        <w:rPr>
          <w:rFonts w:ascii="Book Antiqua" w:hAnsi="Book Antiqua"/>
          <w:sz w:val="24"/>
          <w:szCs w:val="24"/>
        </w:rPr>
        <w:t>Added the role of the Diversity and Inclusion Advisory Council in the development of the Campus Diversity Plan</w:t>
      </w:r>
      <w:r w:rsidR="0065389E" w:rsidRPr="005875DA">
        <w:rPr>
          <w:rFonts w:ascii="Book Antiqua" w:hAnsi="Book Antiqua"/>
          <w:sz w:val="24"/>
          <w:szCs w:val="24"/>
        </w:rPr>
        <w:t>e)</w:t>
      </w:r>
      <w:r w:rsidR="00BB2AA8" w:rsidRPr="005875DA">
        <w:rPr>
          <w:rFonts w:ascii="Book Antiqua" w:hAnsi="Book Antiqua"/>
          <w:sz w:val="24"/>
          <w:szCs w:val="24"/>
        </w:rPr>
        <w:t xml:space="preserve"> </w:t>
      </w:r>
    </w:p>
    <w:p w:rsidR="007F38BB" w:rsidRPr="005875DA" w:rsidRDefault="007F38BB" w:rsidP="005875DA">
      <w:pPr>
        <w:tabs>
          <w:tab w:val="left" w:pos="270"/>
        </w:tabs>
        <w:spacing w:after="120" w:line="240" w:lineRule="auto"/>
        <w:ind w:left="1080"/>
        <w:rPr>
          <w:rFonts w:ascii="Book Antiqua" w:hAnsi="Book Antiqua"/>
          <w:sz w:val="24"/>
          <w:szCs w:val="24"/>
        </w:rPr>
      </w:pPr>
    </w:p>
    <w:p w:rsidR="00503577" w:rsidRPr="005875DA" w:rsidRDefault="00503577" w:rsidP="005875DA">
      <w:pPr>
        <w:spacing w:after="120" w:line="240" w:lineRule="auto"/>
        <w:rPr>
          <w:rFonts w:ascii="Book Antiqua" w:hAnsi="Book Antiqua"/>
          <w:sz w:val="24"/>
          <w:szCs w:val="24"/>
        </w:rPr>
        <w:sectPr w:rsidR="00503577" w:rsidRPr="005875DA" w:rsidSect="00565A36">
          <w:footerReference w:type="default" r:id="rId8"/>
          <w:pgSz w:w="12240" w:h="15840"/>
          <w:pgMar w:top="1080" w:right="1440" w:bottom="1440" w:left="1440" w:header="720" w:footer="453" w:gutter="0"/>
          <w:cols w:space="720"/>
          <w:docGrid w:linePitch="360"/>
        </w:sectPr>
      </w:pPr>
    </w:p>
    <w:p w:rsidR="007F38BB" w:rsidRPr="005875DA" w:rsidRDefault="007F38BB" w:rsidP="005875DA">
      <w:pPr>
        <w:pStyle w:val="Heading1"/>
        <w:spacing w:before="0" w:after="120" w:line="240" w:lineRule="auto"/>
        <w:rPr>
          <w:rFonts w:ascii="Book Antiqua" w:hAnsi="Book Antiqua"/>
          <w:b/>
          <w:sz w:val="24"/>
          <w:szCs w:val="24"/>
        </w:rPr>
      </w:pPr>
      <w:r w:rsidRPr="005875DA">
        <w:rPr>
          <w:rFonts w:ascii="Book Antiqua" w:hAnsi="Book Antiqua"/>
          <w:sz w:val="24"/>
          <w:szCs w:val="24"/>
        </w:rPr>
        <w:lastRenderedPageBreak/>
        <w:t>VI.</w:t>
      </w:r>
      <w:r w:rsidRPr="005875DA">
        <w:rPr>
          <w:rFonts w:ascii="Book Antiqua" w:hAnsi="Book Antiqua"/>
          <w:sz w:val="24"/>
          <w:szCs w:val="24"/>
        </w:rPr>
        <w:tab/>
        <w:t>Recruitment</w:t>
      </w:r>
    </w:p>
    <w:p w:rsidR="005875DA" w:rsidRDefault="005875DA" w:rsidP="005875DA">
      <w:pPr>
        <w:spacing w:after="120" w:line="240" w:lineRule="auto"/>
        <w:ind w:left="180"/>
        <w:rPr>
          <w:rFonts w:ascii="Book Antiqua" w:hAnsi="Book Antiqua"/>
          <w:sz w:val="24"/>
          <w:szCs w:val="24"/>
        </w:rPr>
      </w:pPr>
    </w:p>
    <w:p w:rsidR="007F38BB" w:rsidRPr="005875DA" w:rsidRDefault="007F38BB" w:rsidP="005875DA">
      <w:pPr>
        <w:spacing w:after="120" w:line="240" w:lineRule="auto"/>
        <w:ind w:left="180"/>
        <w:rPr>
          <w:rFonts w:ascii="Book Antiqua" w:hAnsi="Book Antiqua"/>
          <w:sz w:val="24"/>
          <w:szCs w:val="24"/>
        </w:rPr>
      </w:pPr>
      <w:r w:rsidRPr="005875DA">
        <w:rPr>
          <w:rFonts w:ascii="Book Antiqua" w:hAnsi="Book Antiqua"/>
          <w:sz w:val="24"/>
          <w:szCs w:val="24"/>
        </w:rPr>
        <w:t>Section wide</w:t>
      </w:r>
    </w:p>
    <w:p w:rsidR="007F38BB" w:rsidRPr="005875DA" w:rsidRDefault="007F38BB" w:rsidP="005875DA">
      <w:pPr>
        <w:spacing w:after="120" w:line="240" w:lineRule="auto"/>
        <w:ind w:left="180"/>
        <w:rPr>
          <w:rFonts w:ascii="Book Antiqua" w:hAnsi="Book Antiqua"/>
          <w:sz w:val="24"/>
          <w:szCs w:val="24"/>
        </w:rPr>
      </w:pPr>
      <w:r w:rsidRPr="005875DA">
        <w:rPr>
          <w:rFonts w:ascii="Book Antiqua" w:hAnsi="Book Antiqua"/>
          <w:sz w:val="24"/>
          <w:szCs w:val="24"/>
        </w:rPr>
        <w:t>The major change to the recruitment plan this year was adjusting for the change to the policy of counting Western Undergraduate Exchange students as resident FTES. By no longer counting these students in the resident target, it results in a loss of over 400 FTES. To make up this FTES the recruitment plan was modified to set the California FTF target at 1400 and UDT target to 1000.  Strategies put into place for this increased target in FTF and UDT were to purchase only California names in our search buy (100,000).  Last year, we purchased 115,000 names spread out across CA and many western states.  The intent is to saturate the California market to drive up applications and, ultimately, enrollment.  Additionally, an on-campus based recruiter was re-assigned to the Bay area as a regional recruiter.  This market is in close proximity to the campus yet it is one of the weakest markets in terms of enrollment.  Our goal is to increase the number of enrolled students to help with our needed growth, but also improve retention.  Transfer student recruitment is being addressed with additional outreach to community colleges within a day’s drive like Santa Rosa and Shasta.  We are looking at forming partnerships with these colleges to assist in building awareness of Humboldt State.</w:t>
      </w:r>
    </w:p>
    <w:p w:rsidR="007F38BB" w:rsidRPr="005875DA" w:rsidRDefault="007F38BB" w:rsidP="005875DA">
      <w:pPr>
        <w:spacing w:after="120" w:line="240" w:lineRule="auto"/>
        <w:rPr>
          <w:rFonts w:ascii="Book Antiqua" w:eastAsiaTheme="majorEastAsia" w:hAnsi="Book Antiqua" w:cstheme="majorBidi"/>
          <w:smallCaps/>
          <w:spacing w:val="5"/>
          <w:sz w:val="24"/>
          <w:szCs w:val="24"/>
        </w:rPr>
      </w:pPr>
    </w:p>
    <w:p w:rsidR="007F38BB" w:rsidRPr="005875DA" w:rsidRDefault="007F38BB" w:rsidP="005875DA">
      <w:pPr>
        <w:spacing w:after="120" w:line="240" w:lineRule="auto"/>
        <w:rPr>
          <w:rFonts w:ascii="Book Antiqua" w:eastAsiaTheme="majorEastAsia" w:hAnsi="Book Antiqua" w:cstheme="majorBidi"/>
          <w:smallCaps/>
          <w:spacing w:val="5"/>
          <w:sz w:val="24"/>
          <w:szCs w:val="24"/>
        </w:rPr>
      </w:pPr>
    </w:p>
    <w:p w:rsidR="007F38BB" w:rsidRPr="005875DA" w:rsidRDefault="007F38BB" w:rsidP="005875DA">
      <w:pPr>
        <w:spacing w:after="120" w:line="240" w:lineRule="auto"/>
        <w:rPr>
          <w:rFonts w:ascii="Book Antiqua" w:eastAsiaTheme="majorEastAsia" w:hAnsi="Book Antiqua" w:cstheme="majorBidi"/>
          <w:smallCaps/>
          <w:spacing w:val="5"/>
          <w:sz w:val="24"/>
          <w:szCs w:val="24"/>
        </w:rPr>
        <w:sectPr w:rsidR="007F38BB" w:rsidRPr="005875DA">
          <w:pgSz w:w="12240" w:h="15840"/>
          <w:pgMar w:top="1440" w:right="1440" w:bottom="1440" w:left="1440" w:header="720" w:footer="720" w:gutter="0"/>
          <w:cols w:space="720"/>
          <w:docGrid w:linePitch="360"/>
        </w:sectPr>
      </w:pPr>
    </w:p>
    <w:p w:rsidR="007F38BB" w:rsidRPr="005875DA" w:rsidRDefault="007F38BB" w:rsidP="005875DA">
      <w:pPr>
        <w:pStyle w:val="Heading1"/>
        <w:spacing w:before="0" w:after="120" w:line="240" w:lineRule="auto"/>
        <w:rPr>
          <w:rFonts w:ascii="Book Antiqua" w:hAnsi="Book Antiqua"/>
          <w:sz w:val="24"/>
          <w:szCs w:val="24"/>
        </w:rPr>
      </w:pPr>
      <w:r w:rsidRPr="005875DA">
        <w:rPr>
          <w:rFonts w:ascii="Book Antiqua" w:hAnsi="Book Antiqua"/>
          <w:sz w:val="24"/>
          <w:szCs w:val="24"/>
        </w:rPr>
        <w:lastRenderedPageBreak/>
        <w:t>VII.</w:t>
      </w:r>
      <w:r w:rsidRPr="005875DA">
        <w:rPr>
          <w:rFonts w:ascii="Book Antiqua" w:hAnsi="Book Antiqua"/>
          <w:sz w:val="24"/>
          <w:szCs w:val="24"/>
        </w:rPr>
        <w:tab/>
        <w:t>International</w:t>
      </w:r>
    </w:p>
    <w:p w:rsidR="007F38BB" w:rsidRPr="005875DA" w:rsidRDefault="007F38BB" w:rsidP="005875DA">
      <w:pPr>
        <w:spacing w:after="120" w:line="240" w:lineRule="auto"/>
        <w:rPr>
          <w:rFonts w:ascii="Book Antiqua" w:eastAsiaTheme="majorEastAsia" w:hAnsi="Book Antiqua" w:cstheme="majorBidi"/>
          <w:smallCaps/>
          <w:spacing w:val="5"/>
          <w:sz w:val="24"/>
          <w:szCs w:val="24"/>
        </w:rPr>
      </w:pPr>
    </w:p>
    <w:p w:rsidR="007F38BB" w:rsidRPr="005875DA" w:rsidRDefault="002A3F86" w:rsidP="005875DA">
      <w:pPr>
        <w:spacing w:after="120" w:line="240" w:lineRule="auto"/>
        <w:rPr>
          <w:rFonts w:ascii="Book Antiqua" w:eastAsiaTheme="majorEastAsia" w:hAnsi="Book Antiqua" w:cstheme="majorBidi"/>
          <w:smallCaps/>
          <w:spacing w:val="5"/>
          <w:sz w:val="24"/>
          <w:szCs w:val="24"/>
        </w:rPr>
      </w:pPr>
      <w:r>
        <w:rPr>
          <w:rFonts w:ascii="Book Antiqua" w:eastAsiaTheme="majorEastAsia" w:hAnsi="Book Antiqua" w:cstheme="majorBidi"/>
          <w:smallCaps/>
          <w:spacing w:val="5"/>
          <w:sz w:val="24"/>
          <w:szCs w:val="24"/>
        </w:rPr>
        <w:t>Strategies:</w:t>
      </w:r>
    </w:p>
    <w:p w:rsidR="002A3F86" w:rsidRDefault="002A3F86" w:rsidP="002A3F86">
      <w:pPr>
        <w:pStyle w:val="ListParagraph"/>
        <w:spacing w:after="120"/>
      </w:pPr>
      <w:r>
        <w:rPr>
          <w:rFonts w:ascii="Book Antiqua" w:hAnsi="Book Antiqua"/>
        </w:rPr>
        <w:t>1.</w:t>
      </w:r>
      <w:r>
        <w:rPr>
          <w:rFonts w:ascii="Times New Roman" w:hAnsi="Times New Roman"/>
          <w:sz w:val="14"/>
          <w:szCs w:val="14"/>
        </w:rPr>
        <w:t xml:space="preserve">      </w:t>
      </w:r>
      <w:r>
        <w:rPr>
          <w:rFonts w:ascii="Book Antiqua" w:hAnsi="Book Antiqua"/>
        </w:rPr>
        <w:t>High quality recruitment materials have been developed. Next steps include the dissemination of HSU’s promotion materials to support a variety of different approaches and initiatives in support of international student recruitment.</w:t>
      </w:r>
    </w:p>
    <w:p w:rsidR="002A3F86" w:rsidRDefault="002A3F86" w:rsidP="002A3F86">
      <w:pPr>
        <w:pStyle w:val="ListParagraph"/>
        <w:spacing w:after="120"/>
      </w:pPr>
      <w:r>
        <w:rPr>
          <w:rFonts w:ascii="Book Antiqua" w:hAnsi="Book Antiqua"/>
        </w:rPr>
        <w:t>2.</w:t>
      </w:r>
      <w:r>
        <w:rPr>
          <w:rFonts w:ascii="Times New Roman" w:hAnsi="Times New Roman"/>
          <w:sz w:val="14"/>
          <w:szCs w:val="14"/>
        </w:rPr>
        <w:t xml:space="preserve">      </w:t>
      </w:r>
      <w:r>
        <w:rPr>
          <w:rFonts w:ascii="Book Antiqua" w:hAnsi="Book Antiqua"/>
        </w:rPr>
        <w:t>The country recruitment plan for China has been established and H</w:t>
      </w:r>
      <w:r>
        <w:rPr>
          <w:rFonts w:ascii="Book Antiqua" w:hAnsi="Book Antiqua"/>
        </w:rPr>
        <w:t>SU</w:t>
      </w:r>
      <w:r>
        <w:rPr>
          <w:rFonts w:ascii="Book Antiqua" w:hAnsi="Book Antiqua"/>
        </w:rPr>
        <w:t xml:space="preserve"> now has an office in Beijing with sub branches in several regional cities.  Country representatives in several other countries, such as Korea and Japan, have been identified. Next steps include expanding the network based upon available data for the student population as well as existing partnerships.</w:t>
      </w:r>
    </w:p>
    <w:p w:rsidR="002A3F86" w:rsidRDefault="002A3F86" w:rsidP="002A3F86">
      <w:pPr>
        <w:pStyle w:val="ListParagraph"/>
        <w:spacing w:after="120"/>
      </w:pPr>
      <w:r>
        <w:rPr>
          <w:rFonts w:ascii="Book Antiqua" w:hAnsi="Book Antiqua"/>
        </w:rPr>
        <w:t>3.</w:t>
      </w:r>
      <w:r>
        <w:rPr>
          <w:rFonts w:ascii="Times New Roman" w:hAnsi="Times New Roman"/>
          <w:sz w:val="14"/>
          <w:szCs w:val="14"/>
        </w:rPr>
        <w:t xml:space="preserve">      </w:t>
      </w:r>
      <w:r>
        <w:rPr>
          <w:rFonts w:ascii="Book Antiqua" w:hAnsi="Book Antiqua"/>
        </w:rPr>
        <w:t xml:space="preserve">HSU now has an articulation with the ACT owned General Assessment Certificate which has Centers around the world. Next steps include getting recruitment materials to the Centers and continue to expand with other pathway programs such as the British HND. </w:t>
      </w:r>
    </w:p>
    <w:p w:rsidR="002A3F86" w:rsidRDefault="002A3F86" w:rsidP="002A3F86">
      <w:pPr>
        <w:pStyle w:val="ListParagraph"/>
        <w:spacing w:after="120"/>
      </w:pPr>
      <w:r>
        <w:rPr>
          <w:rFonts w:ascii="Book Antiqua" w:hAnsi="Book Antiqua"/>
        </w:rPr>
        <w:t>4.</w:t>
      </w:r>
      <w:r>
        <w:rPr>
          <w:rFonts w:ascii="Times New Roman" w:hAnsi="Times New Roman"/>
          <w:sz w:val="14"/>
          <w:szCs w:val="14"/>
        </w:rPr>
        <w:t xml:space="preserve">      </w:t>
      </w:r>
      <w:r>
        <w:rPr>
          <w:rFonts w:ascii="Book Antiqua" w:hAnsi="Book Antiqua"/>
        </w:rPr>
        <w:t xml:space="preserve">HSS has multiple recruitment contracts that have been signed. Next steps include continuing to expand a network of recruitment agencies in multiple countries to send individual students to HSU. </w:t>
      </w:r>
    </w:p>
    <w:p w:rsidR="002A3F86" w:rsidRDefault="002A3F86" w:rsidP="002A3F86">
      <w:pPr>
        <w:pStyle w:val="ListParagraph"/>
        <w:spacing w:after="120"/>
      </w:pPr>
      <w:r>
        <w:rPr>
          <w:rFonts w:ascii="Book Antiqua" w:hAnsi="Book Antiqua"/>
        </w:rPr>
        <w:t>5.</w:t>
      </w:r>
      <w:r>
        <w:rPr>
          <w:rFonts w:ascii="Times New Roman" w:hAnsi="Times New Roman"/>
          <w:sz w:val="14"/>
          <w:szCs w:val="14"/>
        </w:rPr>
        <w:t xml:space="preserve">      </w:t>
      </w:r>
      <w:r>
        <w:rPr>
          <w:rFonts w:ascii="Book Antiqua" w:hAnsi="Book Antiqua"/>
        </w:rPr>
        <w:t xml:space="preserve">Recruitment materials targeted for community college transfer students have been developed. Next steps include continuing to improve HSU’s ability to recruit international students currently attending US community colleges. Additionally, </w:t>
      </w:r>
      <w:bookmarkStart w:id="1" w:name="_GoBack"/>
      <w:bookmarkEnd w:id="1"/>
      <w:r>
        <w:rPr>
          <w:rFonts w:ascii="Book Antiqua" w:hAnsi="Book Antiqua"/>
        </w:rPr>
        <w:t xml:space="preserve">establish an articulation with Central College in Washington. </w:t>
      </w:r>
    </w:p>
    <w:p w:rsidR="002A3F86" w:rsidRDefault="002A3F86" w:rsidP="002A3F86">
      <w:pPr>
        <w:pStyle w:val="ListParagraph"/>
        <w:spacing w:after="120"/>
      </w:pPr>
      <w:r>
        <w:rPr>
          <w:rFonts w:ascii="Book Antiqua" w:hAnsi="Book Antiqua"/>
        </w:rPr>
        <w:t>6.</w:t>
      </w:r>
      <w:r>
        <w:rPr>
          <w:rFonts w:ascii="Times New Roman" w:hAnsi="Times New Roman"/>
          <w:sz w:val="14"/>
          <w:szCs w:val="14"/>
        </w:rPr>
        <w:t xml:space="preserve">      </w:t>
      </w:r>
      <w:r>
        <w:rPr>
          <w:rFonts w:ascii="Book Antiqua" w:hAnsi="Book Antiqua"/>
        </w:rPr>
        <w:t xml:space="preserve">A new and greatly improved website has been developed. Continue to improve the </w:t>
      </w:r>
      <w:proofErr w:type="gramStart"/>
      <w:r>
        <w:rPr>
          <w:rFonts w:ascii="Book Antiqua" w:hAnsi="Book Antiqua"/>
        </w:rPr>
        <w:t>newly</w:t>
      </w:r>
      <w:proofErr w:type="gramEnd"/>
      <w:r>
        <w:rPr>
          <w:rFonts w:ascii="Book Antiqua" w:hAnsi="Book Antiqua"/>
        </w:rPr>
        <w:t xml:space="preserve"> developed CIP web presence.</w:t>
      </w:r>
    </w:p>
    <w:p w:rsidR="007F38BB" w:rsidRPr="005875DA" w:rsidRDefault="007F38BB" w:rsidP="005875DA">
      <w:pPr>
        <w:spacing w:after="120" w:line="240" w:lineRule="auto"/>
        <w:rPr>
          <w:rFonts w:ascii="Book Antiqua" w:eastAsiaTheme="majorEastAsia" w:hAnsi="Book Antiqua" w:cstheme="majorBidi"/>
          <w:smallCaps/>
          <w:spacing w:val="5"/>
          <w:sz w:val="24"/>
          <w:szCs w:val="24"/>
        </w:rPr>
        <w:sectPr w:rsidR="007F38BB" w:rsidRPr="005875DA">
          <w:pgSz w:w="12240" w:h="15840"/>
          <w:pgMar w:top="1440" w:right="1440" w:bottom="1440" w:left="1440" w:header="720" w:footer="720" w:gutter="0"/>
          <w:cols w:space="720"/>
          <w:docGrid w:linePitch="360"/>
        </w:sectPr>
      </w:pPr>
    </w:p>
    <w:p w:rsidR="00503577" w:rsidRPr="005875DA" w:rsidRDefault="00503577" w:rsidP="005875DA">
      <w:pPr>
        <w:pStyle w:val="Heading1"/>
        <w:spacing w:before="0" w:after="120" w:line="240" w:lineRule="auto"/>
        <w:rPr>
          <w:rFonts w:ascii="Book Antiqua" w:hAnsi="Book Antiqua"/>
          <w:b/>
          <w:sz w:val="24"/>
          <w:szCs w:val="24"/>
        </w:rPr>
      </w:pPr>
      <w:r w:rsidRPr="005875DA">
        <w:rPr>
          <w:rFonts w:ascii="Book Antiqua" w:hAnsi="Book Antiqua"/>
          <w:sz w:val="24"/>
          <w:szCs w:val="24"/>
        </w:rPr>
        <w:lastRenderedPageBreak/>
        <w:t>VIII.</w:t>
      </w:r>
      <w:r w:rsidRPr="005875DA">
        <w:rPr>
          <w:rFonts w:ascii="Book Antiqua" w:hAnsi="Book Antiqua"/>
          <w:sz w:val="24"/>
          <w:szCs w:val="24"/>
        </w:rPr>
        <w:tab/>
        <w:t>FINANCIAL AID AND SCHOLARSHIPS</w:t>
      </w:r>
    </w:p>
    <w:p w:rsidR="005875DA" w:rsidRPr="005875DA" w:rsidRDefault="005875DA" w:rsidP="005875DA">
      <w:pPr>
        <w:spacing w:after="120" w:line="240" w:lineRule="auto"/>
        <w:ind w:left="360"/>
        <w:rPr>
          <w:rFonts w:ascii="Book Antiqua" w:hAnsi="Book Antiqua"/>
          <w:sz w:val="24"/>
          <w:szCs w:val="24"/>
        </w:rPr>
      </w:pPr>
    </w:p>
    <w:p w:rsidR="00503577" w:rsidRPr="005875DA" w:rsidRDefault="00503577" w:rsidP="005875DA">
      <w:pPr>
        <w:spacing w:after="120" w:line="240" w:lineRule="auto"/>
        <w:ind w:left="360"/>
        <w:rPr>
          <w:rFonts w:ascii="Book Antiqua" w:hAnsi="Book Antiqua"/>
          <w:sz w:val="24"/>
          <w:szCs w:val="24"/>
        </w:rPr>
      </w:pPr>
      <w:r w:rsidRPr="005875DA">
        <w:rPr>
          <w:rFonts w:ascii="Book Antiqua" w:hAnsi="Book Antiqua"/>
          <w:sz w:val="24"/>
          <w:szCs w:val="24"/>
        </w:rPr>
        <w:t>Strategy 1: Hire a firm to consult on leveraging for recruitment and retention</w:t>
      </w:r>
    </w:p>
    <w:p w:rsidR="00503577" w:rsidRPr="005875DA" w:rsidRDefault="00503577" w:rsidP="005875DA">
      <w:pPr>
        <w:spacing w:after="120" w:line="240" w:lineRule="auto"/>
        <w:ind w:left="360"/>
        <w:rPr>
          <w:rFonts w:ascii="Book Antiqua" w:hAnsi="Book Antiqua"/>
          <w:sz w:val="24"/>
          <w:szCs w:val="24"/>
        </w:rPr>
      </w:pPr>
      <w:r w:rsidRPr="005875DA">
        <w:rPr>
          <w:rFonts w:ascii="Book Antiqua" w:hAnsi="Book Antiqua"/>
          <w:sz w:val="24"/>
          <w:szCs w:val="24"/>
        </w:rPr>
        <w:t>Strategy 2: Finalize scholarship awarding. Many scholarships awarded in 12-13 with regular April 1 awarding of aid.  Almost all will be in 13-14.</w:t>
      </w:r>
    </w:p>
    <w:p w:rsidR="00503577" w:rsidRPr="005875DA" w:rsidRDefault="00503577" w:rsidP="005875DA">
      <w:pPr>
        <w:spacing w:after="120" w:line="240" w:lineRule="auto"/>
        <w:ind w:left="1080"/>
        <w:rPr>
          <w:rFonts w:ascii="Book Antiqua" w:hAnsi="Book Antiqua"/>
          <w:sz w:val="24"/>
          <w:szCs w:val="24"/>
        </w:rPr>
      </w:pPr>
      <w:r w:rsidRPr="005875DA">
        <w:rPr>
          <w:rFonts w:ascii="Book Antiqua" w:hAnsi="Book Antiqua"/>
          <w:sz w:val="24"/>
          <w:szCs w:val="24"/>
        </w:rPr>
        <w:t xml:space="preserve">Implement Financial Aid Advisory Committee - expected to convene </w:t>
      </w:r>
      <w:proofErr w:type="gramStart"/>
      <w:r w:rsidRPr="005875DA">
        <w:rPr>
          <w:rFonts w:ascii="Book Antiqua" w:hAnsi="Book Antiqua"/>
          <w:sz w:val="24"/>
          <w:szCs w:val="24"/>
        </w:rPr>
        <w:t>Fall</w:t>
      </w:r>
      <w:proofErr w:type="gramEnd"/>
      <w:r w:rsidRPr="005875DA">
        <w:rPr>
          <w:rFonts w:ascii="Book Antiqua" w:hAnsi="Book Antiqua"/>
          <w:sz w:val="24"/>
          <w:szCs w:val="24"/>
        </w:rPr>
        <w:t xml:space="preserve"> 2012.</w:t>
      </w:r>
    </w:p>
    <w:p w:rsidR="00503577" w:rsidRPr="005875DA" w:rsidRDefault="00503577" w:rsidP="005875DA">
      <w:pPr>
        <w:spacing w:after="120" w:line="240" w:lineRule="auto"/>
        <w:ind w:left="1080"/>
        <w:rPr>
          <w:rFonts w:ascii="Book Antiqua" w:hAnsi="Book Antiqua"/>
          <w:sz w:val="24"/>
          <w:szCs w:val="24"/>
        </w:rPr>
      </w:pPr>
      <w:r w:rsidRPr="005875DA">
        <w:rPr>
          <w:rFonts w:ascii="Book Antiqua" w:hAnsi="Book Antiqua"/>
          <w:sz w:val="24"/>
          <w:szCs w:val="24"/>
        </w:rPr>
        <w:t>Finalize required participation in STARS – expected complete campus buy in for 13-14.</w:t>
      </w:r>
    </w:p>
    <w:p w:rsidR="00503577" w:rsidRPr="005875DA" w:rsidRDefault="00503577" w:rsidP="005875DA">
      <w:pPr>
        <w:spacing w:after="120" w:line="240" w:lineRule="auto"/>
        <w:ind w:left="1080"/>
        <w:rPr>
          <w:rFonts w:ascii="Book Antiqua" w:hAnsi="Book Antiqua"/>
          <w:sz w:val="24"/>
          <w:szCs w:val="24"/>
        </w:rPr>
      </w:pPr>
      <w:r w:rsidRPr="005875DA">
        <w:rPr>
          <w:rFonts w:ascii="Book Antiqua" w:hAnsi="Book Antiqua"/>
          <w:sz w:val="24"/>
          <w:szCs w:val="24"/>
        </w:rPr>
        <w:t>Deleted:  “Modify FA awarding policies” – this task completed.</w:t>
      </w:r>
    </w:p>
    <w:p w:rsidR="00503577" w:rsidRPr="005875DA" w:rsidRDefault="00503577" w:rsidP="005875DA">
      <w:pPr>
        <w:spacing w:after="120" w:line="240" w:lineRule="auto"/>
        <w:ind w:left="360"/>
        <w:rPr>
          <w:rFonts w:ascii="Book Antiqua" w:hAnsi="Book Antiqua"/>
          <w:sz w:val="24"/>
          <w:szCs w:val="24"/>
        </w:rPr>
      </w:pPr>
      <w:r w:rsidRPr="005875DA">
        <w:rPr>
          <w:rFonts w:ascii="Book Antiqua" w:hAnsi="Book Antiqua"/>
          <w:sz w:val="24"/>
          <w:szCs w:val="24"/>
        </w:rPr>
        <w:t>Strategy 4: Changed “develop proactive approach by FAO to assist aid recipients in timely progress to degree”</w:t>
      </w:r>
    </w:p>
    <w:p w:rsidR="00503577" w:rsidRPr="005875DA" w:rsidRDefault="00503577" w:rsidP="005875DA">
      <w:pPr>
        <w:spacing w:after="120" w:line="240" w:lineRule="auto"/>
        <w:ind w:left="360"/>
        <w:rPr>
          <w:rFonts w:ascii="Book Antiqua" w:hAnsi="Book Antiqua"/>
          <w:sz w:val="24"/>
          <w:szCs w:val="24"/>
        </w:rPr>
      </w:pPr>
      <w:r w:rsidRPr="005875DA">
        <w:rPr>
          <w:rFonts w:ascii="Book Antiqua" w:hAnsi="Book Antiqua"/>
          <w:sz w:val="24"/>
          <w:szCs w:val="24"/>
        </w:rPr>
        <w:t>Strategy 5: Language adjusted to more active verbs.  This task is in ongoing development.</w:t>
      </w:r>
      <w:r w:rsidRPr="005875DA">
        <w:rPr>
          <w:rFonts w:ascii="Book Antiqua" w:hAnsi="Book Antiqua"/>
          <w:sz w:val="24"/>
          <w:szCs w:val="24"/>
        </w:rPr>
        <w:tab/>
      </w:r>
    </w:p>
    <w:p w:rsidR="008660E7" w:rsidRPr="005875DA" w:rsidRDefault="008660E7" w:rsidP="005875DA">
      <w:pPr>
        <w:spacing w:after="120" w:line="240" w:lineRule="auto"/>
        <w:ind w:left="360"/>
        <w:rPr>
          <w:rFonts w:ascii="Book Antiqua" w:hAnsi="Book Antiqua"/>
          <w:sz w:val="24"/>
          <w:szCs w:val="24"/>
        </w:rPr>
      </w:pPr>
    </w:p>
    <w:p w:rsidR="00565A36" w:rsidRPr="005875DA" w:rsidRDefault="00565A36" w:rsidP="005875DA">
      <w:pPr>
        <w:spacing w:after="120" w:line="240" w:lineRule="auto"/>
        <w:ind w:left="360"/>
        <w:rPr>
          <w:rFonts w:ascii="Book Antiqua" w:hAnsi="Book Antiqua"/>
          <w:sz w:val="24"/>
          <w:szCs w:val="24"/>
        </w:rPr>
        <w:sectPr w:rsidR="00565A36" w:rsidRPr="005875DA">
          <w:pgSz w:w="12240" w:h="15840"/>
          <w:pgMar w:top="1440" w:right="1440" w:bottom="1440" w:left="1440" w:header="720" w:footer="720" w:gutter="0"/>
          <w:cols w:space="720"/>
          <w:docGrid w:linePitch="360"/>
        </w:sectPr>
      </w:pPr>
    </w:p>
    <w:p w:rsidR="00565A36" w:rsidRPr="005875DA" w:rsidRDefault="00565A36" w:rsidP="005875DA">
      <w:pPr>
        <w:pStyle w:val="Heading1"/>
        <w:spacing w:before="0" w:after="120" w:line="240" w:lineRule="auto"/>
        <w:rPr>
          <w:rFonts w:ascii="Book Antiqua" w:hAnsi="Book Antiqua"/>
          <w:sz w:val="24"/>
          <w:szCs w:val="24"/>
        </w:rPr>
      </w:pPr>
      <w:r w:rsidRPr="005875DA">
        <w:rPr>
          <w:rFonts w:ascii="Book Antiqua" w:hAnsi="Book Antiqua"/>
          <w:sz w:val="24"/>
          <w:szCs w:val="24"/>
        </w:rPr>
        <w:lastRenderedPageBreak/>
        <w:t>IX.</w:t>
      </w:r>
      <w:r w:rsidRPr="005875DA">
        <w:rPr>
          <w:rFonts w:ascii="Book Antiqua" w:hAnsi="Book Antiqua"/>
          <w:sz w:val="24"/>
          <w:szCs w:val="24"/>
        </w:rPr>
        <w:tab/>
        <w:t>MANAGING PROGRAM SIZE, STRUCTURE, AND SCHEDULE</w:t>
      </w:r>
    </w:p>
    <w:p w:rsidR="00565A36" w:rsidRPr="005875DA" w:rsidRDefault="00565A36" w:rsidP="005875DA">
      <w:pPr>
        <w:spacing w:after="120" w:line="240" w:lineRule="auto"/>
        <w:ind w:left="180"/>
        <w:rPr>
          <w:rFonts w:ascii="Book Antiqua" w:hAnsi="Book Antiqua"/>
          <w:sz w:val="24"/>
          <w:szCs w:val="24"/>
        </w:rPr>
      </w:pPr>
      <w:r w:rsidRPr="005875DA">
        <w:rPr>
          <w:rFonts w:ascii="Book Antiqua" w:hAnsi="Book Antiqua"/>
          <w:sz w:val="24"/>
          <w:szCs w:val="24"/>
        </w:rPr>
        <w:t>Section wide</w:t>
      </w:r>
    </w:p>
    <w:p w:rsidR="00565A36" w:rsidRPr="005875DA" w:rsidRDefault="00565A36" w:rsidP="005875DA">
      <w:pPr>
        <w:spacing w:after="120" w:line="240" w:lineRule="auto"/>
        <w:ind w:left="180"/>
        <w:rPr>
          <w:rFonts w:ascii="Book Antiqua" w:hAnsi="Book Antiqua"/>
          <w:sz w:val="24"/>
          <w:szCs w:val="24"/>
        </w:rPr>
      </w:pPr>
      <w:r w:rsidRPr="005875DA">
        <w:rPr>
          <w:rFonts w:ascii="Book Antiqua" w:hAnsi="Book Antiqua"/>
          <w:sz w:val="24"/>
          <w:szCs w:val="24"/>
        </w:rPr>
        <w:t xml:space="preserve">The goals’ section was expanded to include program structure and schedule as well as program size.  </w:t>
      </w:r>
    </w:p>
    <w:p w:rsidR="00565A36" w:rsidRPr="005875DA" w:rsidRDefault="00565A36" w:rsidP="005875DA">
      <w:pPr>
        <w:spacing w:after="120" w:line="240" w:lineRule="auto"/>
        <w:ind w:left="180"/>
        <w:rPr>
          <w:rFonts w:ascii="Book Antiqua" w:hAnsi="Book Antiqua"/>
          <w:sz w:val="24"/>
          <w:szCs w:val="24"/>
        </w:rPr>
      </w:pPr>
      <w:r w:rsidRPr="005875DA">
        <w:rPr>
          <w:rFonts w:ascii="Book Antiqua" w:hAnsi="Book Antiqua"/>
          <w:sz w:val="24"/>
          <w:szCs w:val="24"/>
        </w:rPr>
        <w:t>In support of the goal to establish mandatory milestones for degree programs, the University Senate passed a policy allowing departments to establish benchmarks and milestones.  At this point some programs, particularly in the sciences, are looking at creating these milestones.  To date, there has not been wide adoption of the program.</w:t>
      </w:r>
    </w:p>
    <w:p w:rsidR="00565A36" w:rsidRPr="005875DA" w:rsidRDefault="00565A36" w:rsidP="005875DA">
      <w:pPr>
        <w:spacing w:after="120" w:line="240" w:lineRule="auto"/>
        <w:ind w:left="180"/>
        <w:rPr>
          <w:rFonts w:ascii="Book Antiqua" w:hAnsi="Book Antiqua"/>
          <w:sz w:val="24"/>
          <w:szCs w:val="24"/>
        </w:rPr>
      </w:pPr>
      <w:r w:rsidRPr="005875DA">
        <w:rPr>
          <w:rFonts w:ascii="Book Antiqua" w:hAnsi="Book Antiqua"/>
          <w:sz w:val="24"/>
          <w:szCs w:val="24"/>
        </w:rPr>
        <w:t>The next step in managing program size, structure and schedule will be to move toward pre-majors and impaction in order to match resource allocation with program size.  That strategy was added to this section.  Another new strategy in this section is to review and revise course scheduling in order to support students’ timely progress through the program as represented by the prescriptive degree maps.</w:t>
      </w:r>
    </w:p>
    <w:p w:rsidR="00565A36" w:rsidRPr="005875DA" w:rsidRDefault="00565A36" w:rsidP="005875DA">
      <w:pPr>
        <w:spacing w:after="120" w:line="240" w:lineRule="auto"/>
        <w:ind w:left="360"/>
        <w:rPr>
          <w:rFonts w:ascii="Book Antiqua" w:hAnsi="Book Antiqua"/>
          <w:sz w:val="24"/>
          <w:szCs w:val="24"/>
        </w:rPr>
      </w:pPr>
    </w:p>
    <w:p w:rsidR="00565A36" w:rsidRPr="005875DA" w:rsidRDefault="00565A36" w:rsidP="005875DA">
      <w:pPr>
        <w:spacing w:after="120" w:line="240" w:lineRule="auto"/>
        <w:ind w:left="360"/>
        <w:rPr>
          <w:rFonts w:ascii="Book Antiqua" w:hAnsi="Book Antiqua"/>
          <w:sz w:val="24"/>
          <w:szCs w:val="24"/>
        </w:rPr>
        <w:sectPr w:rsidR="00565A36" w:rsidRPr="005875DA">
          <w:pgSz w:w="12240" w:h="15840"/>
          <w:pgMar w:top="1440" w:right="1440" w:bottom="1440" w:left="1440" w:header="720" w:footer="720" w:gutter="0"/>
          <w:cols w:space="720"/>
          <w:docGrid w:linePitch="360"/>
        </w:sectPr>
      </w:pPr>
    </w:p>
    <w:p w:rsidR="00503577" w:rsidRPr="005875DA" w:rsidRDefault="008660E7" w:rsidP="005875DA">
      <w:pPr>
        <w:pStyle w:val="Heading1"/>
        <w:spacing w:before="0" w:after="120" w:line="240" w:lineRule="auto"/>
        <w:rPr>
          <w:rFonts w:ascii="Book Antiqua" w:hAnsi="Book Antiqua"/>
          <w:sz w:val="24"/>
          <w:szCs w:val="24"/>
        </w:rPr>
      </w:pPr>
      <w:r w:rsidRPr="005875DA">
        <w:rPr>
          <w:rFonts w:ascii="Book Antiqua" w:hAnsi="Book Antiqua"/>
          <w:sz w:val="24"/>
          <w:szCs w:val="24"/>
        </w:rPr>
        <w:lastRenderedPageBreak/>
        <w:t>X.  MARKETING AND COMMUNICATIONS</w:t>
      </w:r>
    </w:p>
    <w:p w:rsidR="005875DA" w:rsidRPr="005875DA" w:rsidRDefault="005875DA" w:rsidP="005875DA">
      <w:pPr>
        <w:spacing w:after="120" w:line="240" w:lineRule="auto"/>
        <w:ind w:left="360"/>
        <w:rPr>
          <w:rFonts w:ascii="Book Antiqua" w:hAnsi="Book Antiqua"/>
          <w:sz w:val="24"/>
          <w:szCs w:val="24"/>
        </w:rPr>
      </w:pPr>
    </w:p>
    <w:p w:rsidR="008660E7" w:rsidRPr="005875DA" w:rsidRDefault="008660E7" w:rsidP="005875DA">
      <w:pPr>
        <w:spacing w:after="120" w:line="240" w:lineRule="auto"/>
        <w:ind w:left="360"/>
        <w:rPr>
          <w:rFonts w:ascii="Book Antiqua" w:hAnsi="Book Antiqua"/>
          <w:sz w:val="24"/>
          <w:szCs w:val="24"/>
        </w:rPr>
      </w:pPr>
      <w:r w:rsidRPr="005875DA">
        <w:rPr>
          <w:rFonts w:ascii="Book Antiqua" w:hAnsi="Book Antiqua"/>
          <w:sz w:val="24"/>
          <w:szCs w:val="24"/>
        </w:rPr>
        <w:t>Strategy 3: Added bullets under about our intentions to hire a consultant in the 2013-14 academic year to help define the overall approach for building our reputation and name recognition, and to provide an integrated marketing strategy for the next 5-10 years. Also to work with a consultant to redo the perception study that Noel Levitz did in 2005.</w:t>
      </w:r>
    </w:p>
    <w:p w:rsidR="008660E7" w:rsidRPr="005875DA" w:rsidRDefault="008660E7" w:rsidP="005875DA">
      <w:pPr>
        <w:spacing w:after="120" w:line="240" w:lineRule="auto"/>
        <w:ind w:left="360"/>
        <w:rPr>
          <w:rFonts w:ascii="Book Antiqua" w:hAnsi="Book Antiqua"/>
          <w:sz w:val="24"/>
          <w:szCs w:val="24"/>
        </w:rPr>
      </w:pPr>
      <w:r w:rsidRPr="005875DA">
        <w:rPr>
          <w:rFonts w:ascii="Book Antiqua" w:hAnsi="Book Antiqua"/>
          <w:sz w:val="24"/>
          <w:szCs w:val="24"/>
        </w:rPr>
        <w:tab/>
      </w:r>
      <w:proofErr w:type="gramStart"/>
      <w:r w:rsidRPr="005875DA">
        <w:rPr>
          <w:rFonts w:ascii="Book Antiqua" w:hAnsi="Book Antiqua"/>
          <w:sz w:val="24"/>
          <w:szCs w:val="24"/>
        </w:rPr>
        <w:t xml:space="preserve">Included supporting employee recruitment, philanthropy and grant-seeking as </w:t>
      </w:r>
      <w:r w:rsidRPr="005875DA">
        <w:rPr>
          <w:rFonts w:ascii="Book Antiqua" w:hAnsi="Book Antiqua"/>
          <w:sz w:val="24"/>
          <w:szCs w:val="24"/>
        </w:rPr>
        <w:tab/>
        <w:t>intended outcomes for Strategy 3.</w:t>
      </w:r>
      <w:proofErr w:type="gramEnd"/>
    </w:p>
    <w:sectPr w:rsidR="008660E7" w:rsidRPr="00587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BB" w:rsidRDefault="007F38BB" w:rsidP="00565A36">
      <w:pPr>
        <w:spacing w:after="0" w:line="240" w:lineRule="auto"/>
      </w:pPr>
      <w:r>
        <w:separator/>
      </w:r>
    </w:p>
  </w:endnote>
  <w:endnote w:type="continuationSeparator" w:id="0">
    <w:p w:rsidR="007F38BB" w:rsidRDefault="007F38BB" w:rsidP="0056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78483"/>
      <w:docPartObj>
        <w:docPartGallery w:val="Page Numbers (Bottom of Page)"/>
        <w:docPartUnique/>
      </w:docPartObj>
    </w:sdtPr>
    <w:sdtEndPr>
      <w:rPr>
        <w:rFonts w:ascii="Book Antiqua" w:hAnsi="Book Antiqua"/>
        <w:noProof/>
        <w:sz w:val="20"/>
        <w:szCs w:val="20"/>
      </w:rPr>
    </w:sdtEndPr>
    <w:sdtContent>
      <w:p w:rsidR="007F38BB" w:rsidRPr="00565A36" w:rsidRDefault="007F38BB">
        <w:pPr>
          <w:pStyle w:val="Footer"/>
          <w:jc w:val="right"/>
          <w:rPr>
            <w:rFonts w:ascii="Book Antiqua" w:hAnsi="Book Antiqua"/>
            <w:sz w:val="20"/>
            <w:szCs w:val="20"/>
          </w:rPr>
        </w:pPr>
        <w:r w:rsidRPr="00565A36">
          <w:rPr>
            <w:rFonts w:ascii="Book Antiqua" w:hAnsi="Book Antiqua"/>
            <w:sz w:val="20"/>
            <w:szCs w:val="20"/>
          </w:rPr>
          <w:fldChar w:fldCharType="begin"/>
        </w:r>
        <w:r w:rsidRPr="00565A36">
          <w:rPr>
            <w:rFonts w:ascii="Book Antiqua" w:hAnsi="Book Antiqua"/>
            <w:sz w:val="20"/>
            <w:szCs w:val="20"/>
          </w:rPr>
          <w:instrText xml:space="preserve"> PAGE   \* MERGEFORMAT </w:instrText>
        </w:r>
        <w:r w:rsidRPr="00565A36">
          <w:rPr>
            <w:rFonts w:ascii="Book Antiqua" w:hAnsi="Book Antiqua"/>
            <w:sz w:val="20"/>
            <w:szCs w:val="20"/>
          </w:rPr>
          <w:fldChar w:fldCharType="separate"/>
        </w:r>
        <w:r w:rsidR="002A3F86">
          <w:rPr>
            <w:rFonts w:ascii="Book Antiqua" w:hAnsi="Book Antiqua"/>
            <w:noProof/>
            <w:sz w:val="20"/>
            <w:szCs w:val="20"/>
          </w:rPr>
          <w:t>1</w:t>
        </w:r>
        <w:r w:rsidRPr="00565A36">
          <w:rPr>
            <w:rFonts w:ascii="Book Antiqua" w:hAnsi="Book Antiqua"/>
            <w:noProof/>
            <w:sz w:val="20"/>
            <w:szCs w:val="20"/>
          </w:rPr>
          <w:fldChar w:fldCharType="end"/>
        </w:r>
      </w:p>
    </w:sdtContent>
  </w:sdt>
  <w:p w:rsidR="007F38BB" w:rsidRDefault="007F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BB" w:rsidRDefault="007F38BB" w:rsidP="00565A36">
      <w:pPr>
        <w:spacing w:after="0" w:line="240" w:lineRule="auto"/>
      </w:pPr>
      <w:r>
        <w:separator/>
      </w:r>
    </w:p>
  </w:footnote>
  <w:footnote w:type="continuationSeparator" w:id="0">
    <w:p w:rsidR="007F38BB" w:rsidRDefault="007F38BB" w:rsidP="00565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A4"/>
    <w:multiLevelType w:val="hybridMultilevel"/>
    <w:tmpl w:val="9440C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0630E"/>
    <w:multiLevelType w:val="hybridMultilevel"/>
    <w:tmpl w:val="C242D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38"/>
    <w:rsid w:val="000519EC"/>
    <w:rsid w:val="002563B7"/>
    <w:rsid w:val="002A3F86"/>
    <w:rsid w:val="00317E95"/>
    <w:rsid w:val="00337C1D"/>
    <w:rsid w:val="00344756"/>
    <w:rsid w:val="00440130"/>
    <w:rsid w:val="004928AD"/>
    <w:rsid w:val="004D332E"/>
    <w:rsid w:val="00503577"/>
    <w:rsid w:val="00565A36"/>
    <w:rsid w:val="005875DA"/>
    <w:rsid w:val="005C0A1F"/>
    <w:rsid w:val="0065389E"/>
    <w:rsid w:val="007F38BB"/>
    <w:rsid w:val="008660E7"/>
    <w:rsid w:val="00920F38"/>
    <w:rsid w:val="00A74D1B"/>
    <w:rsid w:val="00AC5884"/>
    <w:rsid w:val="00AC77AE"/>
    <w:rsid w:val="00B5046D"/>
    <w:rsid w:val="00BB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38"/>
    <w:pPr>
      <w:spacing w:before="480" w:after="0"/>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38"/>
    <w:rPr>
      <w:rFonts w:asciiTheme="majorHAnsi" w:eastAsiaTheme="majorEastAsia" w:hAnsiTheme="majorHAnsi" w:cstheme="majorBidi"/>
      <w:smallCaps/>
      <w:spacing w:val="5"/>
      <w:sz w:val="36"/>
      <w:szCs w:val="36"/>
    </w:rPr>
  </w:style>
  <w:style w:type="paragraph" w:styleId="ListParagraph">
    <w:name w:val="List Paragraph"/>
    <w:basedOn w:val="Normal"/>
    <w:uiPriority w:val="34"/>
    <w:qFormat/>
    <w:rsid w:val="00920F38"/>
    <w:pPr>
      <w:ind w:left="720"/>
      <w:contextualSpacing/>
    </w:pPr>
  </w:style>
  <w:style w:type="paragraph" w:styleId="Header">
    <w:name w:val="header"/>
    <w:basedOn w:val="Normal"/>
    <w:link w:val="HeaderChar"/>
    <w:uiPriority w:val="99"/>
    <w:unhideWhenUsed/>
    <w:rsid w:val="0056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36"/>
  </w:style>
  <w:style w:type="paragraph" w:styleId="Footer">
    <w:name w:val="footer"/>
    <w:basedOn w:val="Normal"/>
    <w:link w:val="FooterChar"/>
    <w:uiPriority w:val="99"/>
    <w:unhideWhenUsed/>
    <w:rsid w:val="0056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F38"/>
    <w:pPr>
      <w:spacing w:before="480" w:after="0"/>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38"/>
    <w:rPr>
      <w:rFonts w:asciiTheme="majorHAnsi" w:eastAsiaTheme="majorEastAsia" w:hAnsiTheme="majorHAnsi" w:cstheme="majorBidi"/>
      <w:smallCaps/>
      <w:spacing w:val="5"/>
      <w:sz w:val="36"/>
      <w:szCs w:val="36"/>
    </w:rPr>
  </w:style>
  <w:style w:type="paragraph" w:styleId="ListParagraph">
    <w:name w:val="List Paragraph"/>
    <w:basedOn w:val="Normal"/>
    <w:uiPriority w:val="34"/>
    <w:qFormat/>
    <w:rsid w:val="00920F38"/>
    <w:pPr>
      <w:ind w:left="720"/>
      <w:contextualSpacing/>
    </w:pPr>
  </w:style>
  <w:style w:type="paragraph" w:styleId="Header">
    <w:name w:val="header"/>
    <w:basedOn w:val="Normal"/>
    <w:link w:val="HeaderChar"/>
    <w:uiPriority w:val="99"/>
    <w:unhideWhenUsed/>
    <w:rsid w:val="0056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36"/>
  </w:style>
  <w:style w:type="paragraph" w:styleId="Footer">
    <w:name w:val="footer"/>
    <w:basedOn w:val="Normal"/>
    <w:link w:val="FooterChar"/>
    <w:uiPriority w:val="99"/>
    <w:unhideWhenUsed/>
    <w:rsid w:val="0056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7035">
      <w:bodyDiv w:val="1"/>
      <w:marLeft w:val="0"/>
      <w:marRight w:val="0"/>
      <w:marTop w:val="0"/>
      <w:marBottom w:val="0"/>
      <w:divBdr>
        <w:top w:val="none" w:sz="0" w:space="0" w:color="auto"/>
        <w:left w:val="none" w:sz="0" w:space="0" w:color="auto"/>
        <w:bottom w:val="none" w:sz="0" w:space="0" w:color="auto"/>
        <w:right w:val="none" w:sz="0" w:space="0" w:color="auto"/>
      </w:divBdr>
    </w:div>
    <w:div w:id="1923100636">
      <w:bodyDiv w:val="1"/>
      <w:marLeft w:val="0"/>
      <w:marRight w:val="0"/>
      <w:marTop w:val="0"/>
      <w:marBottom w:val="0"/>
      <w:divBdr>
        <w:top w:val="none" w:sz="0" w:space="0" w:color="auto"/>
        <w:left w:val="none" w:sz="0" w:space="0" w:color="auto"/>
        <w:bottom w:val="none" w:sz="0" w:space="0" w:color="auto"/>
        <w:right w:val="none" w:sz="0" w:space="0" w:color="auto"/>
      </w:divBdr>
    </w:div>
    <w:div w:id="2043894427">
      <w:bodyDiv w:val="1"/>
      <w:marLeft w:val="0"/>
      <w:marRight w:val="0"/>
      <w:marTop w:val="0"/>
      <w:marBottom w:val="0"/>
      <w:divBdr>
        <w:top w:val="none" w:sz="0" w:space="0" w:color="auto"/>
        <w:left w:val="none" w:sz="0" w:space="0" w:color="auto"/>
        <w:bottom w:val="none" w:sz="0" w:space="0" w:color="auto"/>
        <w:right w:val="none" w:sz="0" w:space="0" w:color="auto"/>
      </w:divBdr>
    </w:div>
    <w:div w:id="20930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Jená Burges</dc:creator>
  <cp:lastModifiedBy>Taylor M. Baker</cp:lastModifiedBy>
  <cp:revision>10</cp:revision>
  <dcterms:created xsi:type="dcterms:W3CDTF">2012-10-22T15:00:00Z</dcterms:created>
  <dcterms:modified xsi:type="dcterms:W3CDTF">2012-11-09T23:27:00Z</dcterms:modified>
</cp:coreProperties>
</file>